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310271</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Xiamen,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9 - 13 October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mobility enhancements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w:t>
      </w:r>
      <w:r>
        <w:rPr>
          <w:rFonts w:hint="eastAsia" w:ascii="Arial" w:hAnsi="Arial" w:eastAsia="宋体" w:cs="Arial"/>
          <w:kern w:val="0"/>
          <w:sz w:val="20"/>
          <w:szCs w:val="20"/>
          <w:lang w:val="en-US" w:eastAsia="zh-CN"/>
        </w:rPr>
        <w:t>23 meeting [1]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neighbour cell measurement</w:t>
      </w:r>
      <w:r>
        <w:rPr>
          <w:rFonts w:hint="eastAsia" w:ascii="Arial" w:hAnsi="Arial" w:eastAsia="宋体" w:cs="Arial"/>
          <w:kern w:val="0"/>
          <w:sz w:val="20"/>
          <w:szCs w:val="20"/>
        </w:rPr>
        <w:t xml:space="preserve"> enhancements</w:t>
      </w:r>
      <w:r>
        <w:rPr>
          <w:rFonts w:hint="eastAsia" w:ascii="Arial" w:hAnsi="Arial" w:eastAsia="宋体" w:cs="Arial"/>
          <w:kern w:val="0"/>
          <w:sz w:val="20"/>
          <w:szCs w:val="20"/>
          <w:lang w:val="en-US" w:eastAsia="zh-CN"/>
        </w:rPr>
        <w:t xml:space="preserve"> and CHO</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wer</w:t>
      </w:r>
      <w:r>
        <w:rPr>
          <w:rFonts w:hint="eastAsia" w:ascii="Arial" w:hAnsi="Arial" w:eastAsia="宋体" w:cs="Arial"/>
          <w:kern w:val="0"/>
          <w:sz w:val="20"/>
          <w:szCs w:val="20"/>
        </w:rPr>
        <w:t>e achieved</w:t>
      </w:r>
      <w:r>
        <w:rPr>
          <w:rFonts w:ascii="Arial" w:hAnsi="Arial" w:eastAsia="宋体" w:cs="Arial"/>
          <w:kern w:val="0"/>
          <w:sz w:val="20"/>
          <w:szCs w:val="20"/>
          <w:lang w:val="en-GB" w:eastAsia="en-US"/>
        </w:rPr>
        <w:t xml:space="preserve">: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ascii="Arial" w:hAnsi="Arial" w:eastAsia="MS Mincho" w:cs="Times New Roman"/>
          <w:sz w:val="18"/>
          <w:szCs w:val="21"/>
          <w:lang w:val="en-GB" w:eastAsia="en-GB" w:bidi="ar-SA"/>
        </w:rPr>
      </w:pPr>
      <w:r>
        <w:rPr>
          <w:rFonts w:ascii="Arial" w:hAnsi="Arial" w:eastAsia="MS Mincho" w:cs="Times New Roman"/>
          <w:sz w:val="18"/>
          <w:szCs w:val="21"/>
          <w:lang w:val="en-GB" w:eastAsia="en-GB" w:bidi="ar-SA"/>
        </w:rPr>
        <w:t>Agreements:</w:t>
      </w:r>
    </w:p>
    <w:p>
      <w:pPr>
        <w:numPr>
          <w:ilvl w:val="0"/>
          <w:numId w:val="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 w:val="18"/>
          <w:szCs w:val="21"/>
          <w:lang w:val="en-GB" w:eastAsia="en-GB" w:bidi="ar-SA"/>
        </w:rPr>
      </w:pPr>
      <w:r>
        <w:rPr>
          <w:rFonts w:ascii="Arial" w:hAnsi="Arial" w:eastAsia="MS Mincho" w:cs="Times New Roman"/>
          <w:sz w:val="18"/>
          <w:szCs w:val="21"/>
          <w:lang w:val="en-GB" w:eastAsia="en-GB" w:bidi="ar-SA"/>
        </w:rPr>
        <w:t>For eMTC, the new SIB (SIBxx) is not an essential SIB. UE does not need to consider the cell barred if it is unable to acquire the SIB when scheduled.</w:t>
      </w:r>
    </w:p>
    <w:p>
      <w:pPr>
        <w:numPr>
          <w:ilvl w:val="0"/>
          <w:numId w:val="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 w:val="18"/>
          <w:szCs w:val="21"/>
          <w:lang w:val="en-GB" w:eastAsia="en-GB" w:bidi="ar-SA"/>
        </w:rPr>
      </w:pPr>
      <w:r>
        <w:rPr>
          <w:rFonts w:ascii="Arial" w:hAnsi="Arial" w:eastAsia="MS Mincho" w:cs="Times New Roman"/>
          <w:sz w:val="18"/>
          <w:szCs w:val="21"/>
          <w:lang w:val="en-GB" w:eastAsia="en-GB" w:bidi="ar-SA"/>
        </w:rPr>
        <w:t>RAN2 will not consider to include cell stop time of neighbor cell in the new SIB (SIBxx) in this release.</w:t>
      </w:r>
    </w:p>
    <w:p>
      <w:pPr>
        <w:numPr>
          <w:ilvl w:val="0"/>
          <w:numId w:val="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 w:val="18"/>
          <w:szCs w:val="21"/>
          <w:lang w:val="en-GB" w:eastAsia="en-GB" w:bidi="ar-SA"/>
        </w:rPr>
      </w:pPr>
      <w:r>
        <w:rPr>
          <w:rFonts w:ascii="Arial" w:hAnsi="Arial" w:eastAsia="MS Mincho" w:cs="Times New Roman"/>
          <w:sz w:val="18"/>
          <w:szCs w:val="21"/>
          <w:lang w:val="en-GB" w:eastAsia="en-GB" w:bidi="ar-SA"/>
        </w:rPr>
        <w:t>for NB-IoT NTN, location-based measurement initiation can also be optionally used in RRC_IDLE for cell re-selection purposes (like in NR-NTN), with the assumption that it is up to the UE to update GNSS location.</w:t>
      </w:r>
    </w:p>
    <w:p>
      <w:pPr>
        <w:numPr>
          <w:ilvl w:val="0"/>
          <w:numId w:val="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 w:val="18"/>
          <w:szCs w:val="21"/>
          <w:lang w:val="en-GB" w:eastAsia="en-GB" w:bidi="ar-SA"/>
        </w:rPr>
      </w:pPr>
      <w:r>
        <w:rPr>
          <w:rFonts w:ascii="Arial" w:hAnsi="Arial" w:eastAsia="MS Mincho" w:cs="Times New Roman"/>
          <w:sz w:val="18"/>
          <w:szCs w:val="21"/>
          <w:lang w:val="en-GB" w:eastAsia="en-GB" w:bidi="ar-SA"/>
        </w:rPr>
        <w:t>validity duration is optional, and if this field is absent, the UE uses validity duration from the serving cell</w:t>
      </w:r>
    </w:p>
    <w:p>
      <w:pPr>
        <w:numPr>
          <w:ilvl w:val="0"/>
          <w:numId w:val="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 w:val="18"/>
          <w:szCs w:val="21"/>
          <w:lang w:val="en-GB" w:eastAsia="en-GB" w:bidi="ar-SA"/>
        </w:rPr>
      </w:pPr>
      <w:r>
        <w:rPr>
          <w:rFonts w:ascii="Arial" w:hAnsi="Arial" w:eastAsia="MS Mincho" w:cs="Times New Roman"/>
          <w:sz w:val="18"/>
          <w:szCs w:val="21"/>
          <w:lang w:val="en-GB" w:eastAsia="en-GB" w:bidi="ar-SA"/>
        </w:rPr>
        <w:t>For re-acquisition of SIBXX the UE may rely on T317/T318 in connected mode</w:t>
      </w:r>
    </w:p>
    <w:p>
      <w:pPr>
        <w:numPr>
          <w:ilvl w:val="0"/>
          <w:numId w:val="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 w:val="18"/>
          <w:szCs w:val="21"/>
          <w:lang w:val="en-GB" w:eastAsia="en-GB" w:bidi="ar-SA"/>
        </w:rPr>
      </w:pPr>
      <w:r>
        <w:rPr>
          <w:rFonts w:ascii="Arial" w:hAnsi="Arial" w:eastAsia="MS Mincho" w:cs="Times New Roman"/>
          <w:sz w:val="18"/>
          <w:szCs w:val="21"/>
          <w:lang w:val="en-GB" w:eastAsia="en-GB" w:bidi="ar-SA"/>
        </w:rPr>
        <w:t>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w:t>
      </w:r>
    </w:p>
    <w:p>
      <w:pPr>
        <w:widowControl/>
        <w:spacing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As indicated by Rapporteur, here is the list of remaining open issues on mobility enhancements.</w:t>
      </w:r>
    </w:p>
    <w:tbl>
      <w:tblPr>
        <w:tblStyle w:val="14"/>
        <w:tblW w:w="0" w:type="auto"/>
        <w:tblInd w:w="1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1" w:type="dxa"/>
          </w:tcPr>
          <w:p>
            <w:pPr>
              <w:pStyle w:val="5"/>
              <w:pageBreakBefore w:val="0"/>
              <w:kinsoku/>
              <w:wordWrap/>
              <w:topLinePunct w:val="0"/>
              <w:bidi w:val="0"/>
              <w:snapToGrid/>
              <w:spacing w:before="0" w:beforeAutospacing="0" w:after="0" w:afterAutospacing="0"/>
              <w:rPr>
                <w:rFonts w:hint="default" w:ascii="Arial" w:hAnsi="Arial" w:cs="Arial" w:eastAsiaTheme="minorEastAsia"/>
                <w:sz w:val="18"/>
                <w:szCs w:val="16"/>
              </w:rPr>
            </w:pPr>
            <w:r>
              <w:rPr>
                <w:rFonts w:hint="default" w:ascii="Arial" w:hAnsi="Arial" w:cs="Arial" w:eastAsiaTheme="minorEastAsia"/>
                <w:sz w:val="18"/>
                <w:szCs w:val="16"/>
              </w:rPr>
              <w:t>SIB</w:t>
            </w:r>
          </w:p>
          <w:p>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40" w:lineRule="auto"/>
              <w:ind w:left="720" w:firstLine="0"/>
              <w:textAlignment w:val="auto"/>
              <w:rPr>
                <w:rFonts w:hint="default" w:ascii="Arial" w:hAnsi="Arial" w:cs="Arial"/>
                <w:color w:val="auto"/>
                <w:sz w:val="18"/>
                <w:szCs w:val="18"/>
              </w:rPr>
            </w:pPr>
            <w:r>
              <w:rPr>
                <w:rFonts w:hint="default" w:ascii="Arial" w:hAnsi="Arial" w:cs="Arial"/>
                <w:color w:val="auto"/>
                <w:sz w:val="18"/>
                <w:szCs w:val="18"/>
              </w:rPr>
              <w:t>Whether to add PCI list for each satellite assistance information</w:t>
            </w:r>
          </w:p>
          <w:p>
            <w:pPr>
              <w:pStyle w:val="5"/>
              <w:pageBreakBefore w:val="0"/>
              <w:numPr>
                <w:ilvl w:val="0"/>
                <w:numId w:val="2"/>
              </w:numPr>
              <w:kinsoku/>
              <w:wordWrap/>
              <w:topLinePunct w:val="0"/>
              <w:bidi w:val="0"/>
              <w:snapToGrid/>
              <w:spacing w:before="0" w:beforeAutospacing="0" w:after="0" w:afterAutospacing="0" w:line="240" w:lineRule="auto"/>
              <w:ind w:left="720" w:firstLine="0"/>
              <w:rPr>
                <w:rFonts w:hint="default" w:ascii="Arial" w:hAnsi="Arial" w:cs="Arial"/>
                <w:color w:val="auto"/>
                <w:sz w:val="18"/>
                <w:szCs w:val="18"/>
              </w:rPr>
            </w:pPr>
            <w:r>
              <w:rPr>
                <w:rFonts w:hint="default" w:ascii="Arial" w:hAnsi="Arial" w:cs="Arial"/>
                <w:color w:val="auto"/>
                <w:sz w:val="18"/>
                <w:szCs w:val="18"/>
              </w:rPr>
              <w:t>Whether t-ServiceStartNeigh is per neighbor cell/per frequency/per satellite or the earliest time among all neighbor cells</w:t>
            </w:r>
          </w:p>
          <w:p>
            <w:pPr>
              <w:pStyle w:val="5"/>
              <w:pageBreakBefore w:val="0"/>
              <w:numPr>
                <w:ilvl w:val="0"/>
                <w:numId w:val="2"/>
              </w:numPr>
              <w:kinsoku/>
              <w:wordWrap/>
              <w:topLinePunct w:val="0"/>
              <w:bidi w:val="0"/>
              <w:snapToGrid/>
              <w:spacing w:before="0" w:beforeAutospacing="0" w:after="0" w:afterAutospacing="0" w:line="240" w:lineRule="auto"/>
              <w:ind w:left="720" w:firstLine="0"/>
              <w:rPr>
                <w:rFonts w:hint="default" w:ascii="Arial" w:hAnsi="Arial" w:cs="Arial"/>
                <w:color w:val="auto"/>
                <w:sz w:val="18"/>
                <w:szCs w:val="18"/>
              </w:rPr>
            </w:pPr>
            <w:r>
              <w:rPr>
                <w:rFonts w:hint="default" w:ascii="Arial" w:hAnsi="Arial" w:cs="Arial"/>
                <w:color w:val="auto"/>
                <w:sz w:val="18"/>
                <w:szCs w:val="18"/>
              </w:rPr>
              <w:t>Whether the reacquisition of SIBxx during T318 is loosely specified (as in current running CR) or made optional and left as a note</w:t>
            </w:r>
          </w:p>
          <w:p>
            <w:pPr>
              <w:pStyle w:val="5"/>
              <w:pageBreakBefore w:val="0"/>
              <w:numPr>
                <w:ilvl w:val="0"/>
                <w:numId w:val="2"/>
              </w:numPr>
              <w:kinsoku/>
              <w:wordWrap/>
              <w:topLinePunct w:val="0"/>
              <w:bidi w:val="0"/>
              <w:snapToGrid/>
              <w:spacing w:before="0" w:beforeAutospacing="0" w:after="0" w:afterAutospacing="0" w:line="240" w:lineRule="auto"/>
              <w:ind w:left="720" w:firstLine="0"/>
              <w:rPr>
                <w:rFonts w:hint="default" w:ascii="Arial" w:hAnsi="Arial" w:cs="Arial"/>
                <w:color w:val="auto"/>
                <w:sz w:val="18"/>
                <w:szCs w:val="18"/>
              </w:rPr>
            </w:pPr>
            <w:r>
              <w:rPr>
                <w:rFonts w:hint="default" w:ascii="Arial" w:hAnsi="Arial" w:cs="Arial"/>
                <w:color w:val="auto"/>
                <w:sz w:val="18"/>
                <w:szCs w:val="18"/>
              </w:rPr>
              <w:t>Whether to have separate reference locations for fixed/moving cells or add cell type indication</w:t>
            </w:r>
          </w:p>
          <w:p>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40" w:lineRule="auto"/>
              <w:ind w:left="720" w:firstLine="0"/>
              <w:textAlignment w:val="auto"/>
              <w:rPr>
                <w:rFonts w:hint="default" w:ascii="Arial" w:hAnsi="Arial" w:cs="Arial"/>
                <w:color w:val="auto"/>
                <w:sz w:val="18"/>
                <w:szCs w:val="18"/>
              </w:rPr>
            </w:pPr>
            <w:r>
              <w:rPr>
                <w:rFonts w:hint="default" w:ascii="Arial" w:hAnsi="Arial" w:cs="Arial"/>
                <w:color w:val="auto"/>
                <w:sz w:val="18"/>
                <w:szCs w:val="18"/>
              </w:rPr>
              <w:t>Whether to have a separate t-Service-r18 (apart from the R17 IE) to differentiate between Connected mode UE measurements and Idle mode UE measurements initiation</w:t>
            </w:r>
          </w:p>
          <w:p>
            <w:pPr>
              <w:pStyle w:val="5"/>
              <w:pageBreakBefore w:val="0"/>
              <w:kinsoku/>
              <w:wordWrap/>
              <w:topLinePunct w:val="0"/>
              <w:bidi w:val="0"/>
              <w:snapToGrid/>
              <w:spacing w:before="0" w:beforeAutospacing="0" w:after="0" w:afterAutospacing="0"/>
              <w:rPr>
                <w:rFonts w:hint="default" w:ascii="Arial" w:hAnsi="Arial" w:cs="Arial" w:eastAsiaTheme="minorEastAsia"/>
                <w:sz w:val="18"/>
                <w:szCs w:val="16"/>
              </w:rPr>
            </w:pPr>
            <w:r>
              <w:rPr>
                <w:rFonts w:hint="default" w:ascii="Arial" w:hAnsi="Arial" w:cs="Arial" w:eastAsiaTheme="minorEastAsia"/>
                <w:sz w:val="18"/>
                <w:szCs w:val="16"/>
              </w:rPr>
              <w:t>Measurements/mobility</w:t>
            </w:r>
          </w:p>
          <w:p>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40" w:lineRule="auto"/>
              <w:ind w:left="720" w:firstLine="0"/>
              <w:textAlignment w:val="auto"/>
              <w:rPr>
                <w:rFonts w:hint="default" w:ascii="Arial" w:hAnsi="Arial" w:cs="Arial"/>
                <w:color w:val="auto"/>
                <w:sz w:val="18"/>
                <w:szCs w:val="18"/>
              </w:rPr>
            </w:pPr>
            <w:r>
              <w:rPr>
                <w:rFonts w:hint="default" w:ascii="Arial" w:hAnsi="Arial" w:cs="Arial"/>
                <w:color w:val="auto"/>
                <w:sz w:val="18"/>
                <w:szCs w:val="18"/>
              </w:rPr>
              <w:t>Whether to allow joint configuration among time/location/RSRP-based measurements in RRC Idle/Connected, and if allowed, the intended UE behavior</w:t>
            </w:r>
          </w:p>
          <w:p>
            <w:pPr>
              <w:pStyle w:val="5"/>
              <w:pageBreakBefore w:val="0"/>
              <w:numPr>
                <w:ilvl w:val="0"/>
                <w:numId w:val="2"/>
              </w:numPr>
              <w:kinsoku/>
              <w:wordWrap/>
              <w:topLinePunct w:val="0"/>
              <w:bidi w:val="0"/>
              <w:snapToGrid/>
              <w:spacing w:before="0" w:beforeAutospacing="0" w:after="0" w:afterAutospacing="0" w:line="240" w:lineRule="auto"/>
              <w:ind w:left="720" w:firstLine="0"/>
              <w:rPr>
                <w:rFonts w:hint="default" w:ascii="Arial" w:hAnsi="Arial" w:cs="Arial"/>
                <w:color w:val="auto"/>
                <w:sz w:val="18"/>
                <w:szCs w:val="18"/>
              </w:rPr>
            </w:pPr>
            <w:r>
              <w:rPr>
                <w:rFonts w:hint="default" w:ascii="Arial" w:hAnsi="Arial" w:cs="Arial"/>
                <w:color w:val="auto"/>
                <w:sz w:val="18"/>
                <w:szCs w:val="18"/>
              </w:rPr>
              <w:t>UE behavior on absence of the list of frequency/cells in new SIBxx.</w:t>
            </w:r>
          </w:p>
          <w:p>
            <w:pPr>
              <w:pStyle w:val="5"/>
              <w:pageBreakBefore w:val="0"/>
              <w:numPr>
                <w:ilvl w:val="0"/>
                <w:numId w:val="2"/>
              </w:numPr>
              <w:kinsoku/>
              <w:wordWrap/>
              <w:topLinePunct w:val="0"/>
              <w:bidi w:val="0"/>
              <w:snapToGrid/>
              <w:spacing w:before="0" w:beforeAutospacing="0" w:after="0" w:afterAutospacing="0" w:line="240" w:lineRule="auto"/>
              <w:ind w:left="720" w:firstLine="0"/>
              <w:rPr>
                <w:rFonts w:hint="default" w:ascii="Arial" w:hAnsi="Arial" w:cs="Arial"/>
                <w:color w:val="auto"/>
                <w:sz w:val="18"/>
                <w:szCs w:val="18"/>
              </w:rPr>
            </w:pPr>
            <w:r>
              <w:rPr>
                <w:rFonts w:hint="default" w:ascii="Arial" w:hAnsi="Arial" w:cs="Arial"/>
                <w:color w:val="auto"/>
                <w:sz w:val="18"/>
                <w:szCs w:val="18"/>
              </w:rPr>
              <w:t>Absence of satellite ID in SIB 3 and SIB5. Whether satellite ID should be in SIB4</w:t>
            </w:r>
          </w:p>
          <w:p>
            <w:pPr>
              <w:pStyle w:val="5"/>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40" w:lineRule="auto"/>
              <w:ind w:left="720" w:firstLine="0"/>
              <w:textAlignment w:val="auto"/>
              <w:rPr>
                <w:rFonts w:hint="default" w:ascii="Arial" w:hAnsi="Arial" w:eastAsia="宋体" w:cs="Arial"/>
                <w:kern w:val="0"/>
                <w:sz w:val="20"/>
                <w:szCs w:val="20"/>
                <w:vertAlign w:val="baseline"/>
                <w:lang w:val="en-US" w:eastAsia="zh-CN"/>
              </w:rPr>
            </w:pPr>
            <w:r>
              <w:rPr>
                <w:rFonts w:hint="default" w:ascii="Arial" w:hAnsi="Arial" w:cs="Arial"/>
                <w:color w:val="auto"/>
                <w:sz w:val="18"/>
                <w:szCs w:val="18"/>
              </w:rPr>
              <w:t>Current signalling for eMTC Connected measurements initiation: 1) time-based in SIB3, 2) location-based in SIB31, 3) RSRP-based (legacy) in measObject. Whether to have optimization to avoid reacquisition of SIB3 for eMTC UEs</w:t>
            </w:r>
          </w:p>
        </w:tc>
      </w:tr>
    </w:tbl>
    <w:p>
      <w:pPr>
        <w:widowControl/>
        <w:spacing w:beforeLines="50" w:after="180"/>
        <w:rPr>
          <w:rFonts w:ascii="Arial" w:hAnsi="Arial" w:eastAsia="宋体" w:cs="Arial"/>
          <w:kern w:val="0"/>
          <w:sz w:val="36"/>
          <w:szCs w:val="20"/>
          <w:lang w:val="en-GB" w:eastAsia="en-US"/>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w:t>
      </w:r>
      <w:r>
        <w:rPr>
          <w:rFonts w:hint="eastAsia" w:ascii="Arial" w:hAnsi="Arial" w:eastAsia="宋体" w:cs="Arial"/>
          <w:kern w:val="0"/>
          <w:sz w:val="20"/>
          <w:szCs w:val="20"/>
        </w:rPr>
        <w:t xml:space="preserve"> for </w:t>
      </w:r>
      <w:r>
        <w:rPr>
          <w:rFonts w:hint="eastAsia" w:ascii="Arial" w:hAnsi="Arial" w:eastAsia="宋体" w:cs="Arial"/>
          <w:kern w:val="0"/>
          <w:sz w:val="20"/>
          <w:szCs w:val="20"/>
          <w:lang w:val="en-US" w:eastAsia="zh-CN"/>
        </w:rPr>
        <w:t>neighbour cell measurements</w:t>
      </w:r>
      <w:r>
        <w:rPr>
          <w:rFonts w:ascii="Arial" w:hAnsi="Arial" w:eastAsia="宋体" w:cs="Arial"/>
          <w:kern w:val="0"/>
          <w:sz w:val="20"/>
          <w:szCs w:val="20"/>
          <w:lang w:val="en-GB"/>
        </w:rPr>
        <w:t>.</w:t>
      </w:r>
    </w:p>
    <w:p>
      <w:pPr>
        <w:keepNext/>
        <w:keepLines/>
        <w:widowControl/>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2</w:t>
      </w:r>
      <w:r>
        <w:rPr>
          <w:rFonts w:ascii="Arial" w:hAnsi="Arial" w:eastAsia="宋体" w:cs="Arial"/>
          <w:kern w:val="0"/>
          <w:sz w:val="36"/>
          <w:szCs w:val="20"/>
          <w:lang w:val="en-GB" w:eastAsia="en-US"/>
        </w:rPr>
        <w:tab/>
      </w:r>
      <w:r>
        <w:rPr>
          <w:rFonts w:hint="eastAsia" w:ascii="Arial" w:hAnsi="Arial" w:eastAsia="宋体" w:cs="Arial"/>
          <w:kern w:val="0"/>
          <w:sz w:val="36"/>
          <w:szCs w:val="20"/>
          <w:lang w:val="en-US" w:eastAsia="zh-CN"/>
        </w:rPr>
        <w:t>Discussion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w:t>
      </w:r>
      <w:r>
        <w:rPr>
          <w:rFonts w:hint="eastAsia" w:ascii="Arial" w:hAnsi="Arial" w:eastAsia="宋体" w:cs="Arial"/>
          <w:kern w:val="0"/>
          <w:sz w:val="32"/>
          <w:szCs w:val="20"/>
          <w:lang w:val="en-US" w:eastAsia="zh-CN"/>
        </w:rPr>
        <w:t>1</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Open issues on SIB</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last meeting, RAN2 discussed whether </w:t>
      </w:r>
      <w:r>
        <w:rPr>
          <w:rFonts w:hint="eastAsia" w:ascii="Arial" w:hAnsi="Arial" w:eastAsia="宋体" w:cs="Arial"/>
          <w:i/>
          <w:iCs/>
          <w:kern w:val="0"/>
          <w:sz w:val="20"/>
          <w:szCs w:val="20"/>
          <w:lang w:val="en-US" w:eastAsia="zh-CN"/>
        </w:rPr>
        <w:t>t-ServiceStart</w:t>
      </w:r>
      <w:r>
        <w:rPr>
          <w:rFonts w:hint="eastAsia" w:ascii="Arial" w:hAnsi="Arial" w:eastAsia="宋体" w:cs="Arial"/>
          <w:kern w:val="0"/>
          <w:sz w:val="20"/>
          <w:szCs w:val="20"/>
          <w:lang w:val="en-US" w:eastAsia="zh-CN"/>
        </w:rPr>
        <w:t xml:space="preserve"> for quasi-earth fixed neighbor cells is per neighbor cell</w:t>
      </w:r>
      <w:r>
        <w:rPr>
          <w:rFonts w:hint="default" w:ascii="Arial" w:hAnsi="Arial" w:cs="Arial"/>
          <w:color w:val="auto"/>
          <w:sz w:val="20"/>
          <w:szCs w:val="20"/>
        </w:rPr>
        <w:t>/per frequency/per satellite or the earliest time among all neighbor cells</w:t>
      </w:r>
      <w:r>
        <w:rPr>
          <w:rFonts w:hint="eastAsia" w:ascii="Arial" w:hAnsi="Arial" w:eastAsia="宋体" w:cs="Arial"/>
          <w:kern w:val="0"/>
          <w:sz w:val="20"/>
          <w:szCs w:val="20"/>
          <w:lang w:val="en-US" w:eastAsia="zh-CN"/>
        </w:rPr>
        <w:t xml:space="preserve">, and has no consensus on this issue. In our understanding, different neighbor cells have different start time, then the UE can determine when to start measurement for that neighbour cell. If only one start time introduced for all neighbour cells, it means that the UE may start measurements for all neighbour cells at the same time, even if some neighbour cells are not started serving. We think it will increase the unnecessary power consumption of UE. Therefore, we prefer that the </w:t>
      </w:r>
      <w:r>
        <w:rPr>
          <w:rFonts w:hint="eastAsia" w:ascii="Arial" w:hAnsi="Arial" w:eastAsia="宋体" w:cs="Arial"/>
          <w:i/>
          <w:iCs/>
          <w:kern w:val="0"/>
          <w:sz w:val="20"/>
          <w:szCs w:val="20"/>
          <w:lang w:val="en-US" w:eastAsia="zh-CN"/>
        </w:rPr>
        <w:t>t-ServiceStart</w:t>
      </w:r>
      <w:r>
        <w:rPr>
          <w:rFonts w:hint="eastAsia" w:ascii="Arial" w:hAnsi="Arial" w:eastAsia="宋体" w:cs="Arial"/>
          <w:kern w:val="0"/>
          <w:sz w:val="20"/>
          <w:szCs w:val="20"/>
          <w:lang w:val="en-US" w:eastAsia="zh-CN"/>
        </w:rPr>
        <w:t xml:space="preserve"> for quasi-earth fixe</w:t>
      </w:r>
      <w:bookmarkStart w:id="5" w:name="_GoBack"/>
      <w:bookmarkEnd w:id="5"/>
      <w:r>
        <w:rPr>
          <w:rFonts w:hint="eastAsia" w:ascii="Arial" w:hAnsi="Arial" w:eastAsia="宋体" w:cs="Arial"/>
          <w:kern w:val="0"/>
          <w:sz w:val="20"/>
          <w:szCs w:val="20"/>
          <w:lang w:val="en-US" w:eastAsia="zh-CN"/>
        </w:rPr>
        <w:t>d neighbor cells is per neighbor cell.</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The </w:t>
      </w:r>
      <w:r>
        <w:rPr>
          <w:rFonts w:hint="eastAsia" w:ascii="Arial" w:hAnsi="Arial" w:eastAsia="宋体" w:cs="Arial"/>
          <w:b/>
          <w:bCs/>
          <w:i/>
          <w:iCs/>
          <w:kern w:val="0"/>
          <w:sz w:val="20"/>
          <w:szCs w:val="20"/>
          <w:lang w:val="en-US" w:eastAsia="zh-CN"/>
        </w:rPr>
        <w:t>t-ServiceStart</w:t>
      </w:r>
      <w:r>
        <w:rPr>
          <w:rFonts w:hint="eastAsia" w:ascii="Arial" w:hAnsi="Arial" w:eastAsia="宋体" w:cs="Arial"/>
          <w:b/>
          <w:bCs/>
          <w:kern w:val="0"/>
          <w:sz w:val="20"/>
          <w:szCs w:val="20"/>
          <w:lang w:val="en-US" w:eastAsia="zh-CN"/>
        </w:rPr>
        <w:t xml:space="preserve"> for quasi-earth fixed neighbor cells is per neighbor cell.</w:t>
      </w:r>
    </w:p>
    <w:p>
      <w:pPr>
        <w:widowControl/>
        <w:spacing w:after="180"/>
        <w:rPr>
          <w:rFonts w:hint="eastAsia" w:ascii="Arial" w:hAnsi="Arial" w:cs="Arial" w:eastAsiaTheme="minorEastAsia"/>
          <w:b/>
          <w:bCs/>
          <w:kern w:val="0"/>
          <w:sz w:val="20"/>
          <w:szCs w:val="20"/>
          <w:lang w:val="en-US" w:eastAsia="zh-CN"/>
        </w:rPr>
      </w:pPr>
      <w:r>
        <w:rPr>
          <w:rFonts w:hint="eastAsia" w:ascii="Arial" w:hAnsi="Arial" w:eastAsia="宋体" w:cs="Arial"/>
          <w:kern w:val="0"/>
          <w:sz w:val="20"/>
          <w:szCs w:val="20"/>
          <w:lang w:val="en-US" w:eastAsia="zh-CN"/>
        </w:rPr>
        <w:t xml:space="preserve">Another open issue is whether to have separate reference locations for fixed/moving cells or add cell type indication. The similar issue has been also discussed in NR NTN topic, and it is agreed to introduce a new IE to indicate the reference location for earth-moving cell. For IoT-NTN, we think the same mechanism can be reused, i.e. introduce separate </w:t>
      </w:r>
      <w:r>
        <w:rPr>
          <w:rFonts w:hint="default" w:ascii="Arial" w:hAnsi="Arial" w:cs="Arial"/>
          <w:color w:val="auto"/>
          <w:sz w:val="20"/>
          <w:szCs w:val="20"/>
        </w:rPr>
        <w:t xml:space="preserve">reference location for </w:t>
      </w:r>
      <w:r>
        <w:rPr>
          <w:rFonts w:hint="eastAsia" w:ascii="Arial" w:hAnsi="Arial" w:cs="Arial"/>
          <w:color w:val="auto"/>
          <w:sz w:val="20"/>
          <w:szCs w:val="20"/>
          <w:lang w:val="en-US" w:eastAsia="zh-CN"/>
        </w:rPr>
        <w:t xml:space="preserve">quasi-earth fixed cell and earth </w:t>
      </w:r>
      <w:r>
        <w:rPr>
          <w:rFonts w:hint="default" w:ascii="Arial" w:hAnsi="Arial" w:cs="Arial"/>
          <w:color w:val="auto"/>
          <w:sz w:val="20"/>
          <w:szCs w:val="20"/>
        </w:rPr>
        <w:t>moving cell</w:t>
      </w:r>
      <w:r>
        <w:rPr>
          <w:rFonts w:hint="eastAsia" w:ascii="Arial" w:hAnsi="Arial" w:cs="Arial"/>
          <w:color w:val="auto"/>
          <w:sz w:val="20"/>
          <w:szCs w:val="20"/>
          <w:lang w:val="en-US" w:eastAsia="zh-CN"/>
        </w:rPr>
        <w:t>.</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2: </w:t>
      </w:r>
      <w:r>
        <w:rPr>
          <w:rFonts w:hint="eastAsia" w:ascii="Arial" w:hAnsi="Arial" w:cs="Arial"/>
          <w:b/>
          <w:bCs/>
          <w:color w:val="auto"/>
          <w:sz w:val="20"/>
          <w:szCs w:val="20"/>
          <w:lang w:val="en-US" w:eastAsia="zh-CN"/>
        </w:rPr>
        <w:t>I</w:t>
      </w:r>
      <w:r>
        <w:rPr>
          <w:rFonts w:hint="eastAsia" w:ascii="Arial" w:hAnsi="Arial" w:eastAsia="宋体" w:cs="Arial"/>
          <w:b/>
          <w:bCs/>
          <w:kern w:val="0"/>
          <w:sz w:val="20"/>
          <w:szCs w:val="20"/>
          <w:lang w:val="en-US" w:eastAsia="zh-CN"/>
        </w:rPr>
        <w:t xml:space="preserve">ntroduce separate reference locations for </w:t>
      </w:r>
      <w:r>
        <w:rPr>
          <w:rFonts w:hint="eastAsia" w:ascii="Arial" w:hAnsi="Arial" w:cs="Arial"/>
          <w:b/>
          <w:bCs/>
          <w:color w:val="auto"/>
          <w:sz w:val="20"/>
          <w:szCs w:val="20"/>
          <w:lang w:val="en-US" w:eastAsia="zh-CN"/>
        </w:rPr>
        <w:t xml:space="preserve">quasi-earth fixed cell and earth </w:t>
      </w:r>
      <w:r>
        <w:rPr>
          <w:rFonts w:hint="default" w:ascii="Arial" w:hAnsi="Arial" w:cs="Arial"/>
          <w:b/>
          <w:bCs/>
          <w:color w:val="auto"/>
          <w:sz w:val="20"/>
          <w:szCs w:val="20"/>
        </w:rPr>
        <w:t>moving cell</w:t>
      </w:r>
      <w:r>
        <w:rPr>
          <w:rFonts w:hint="eastAsia" w:ascii="Arial" w:hAnsi="Arial" w:eastAsia="宋体" w:cs="Arial"/>
          <w:b/>
          <w:bCs/>
          <w:kern w:val="0"/>
          <w:sz w:val="20"/>
          <w:szCs w:val="20"/>
          <w:lang w:val="en-US" w:eastAsia="zh-CN"/>
        </w:rPr>
        <w:t>.</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Regarding w</w:t>
      </w:r>
      <w:r>
        <w:rPr>
          <w:rFonts w:hint="default" w:ascii="Arial" w:hAnsi="Arial" w:eastAsia="宋体" w:cs="Arial"/>
          <w:kern w:val="0"/>
          <w:sz w:val="20"/>
          <w:szCs w:val="20"/>
          <w:lang w:val="en-US" w:eastAsia="zh-CN"/>
        </w:rPr>
        <w:t xml:space="preserve">hether to have a separate t-Service-r18 (apart from the R17 IE) to differentiate between </w:t>
      </w:r>
      <w:r>
        <w:rPr>
          <w:rFonts w:hint="eastAsia" w:ascii="Arial" w:hAnsi="Arial" w:eastAsia="宋体" w:cs="Arial"/>
          <w:kern w:val="0"/>
          <w:sz w:val="20"/>
          <w:szCs w:val="20"/>
          <w:lang w:val="en-US" w:eastAsia="zh-CN"/>
        </w:rPr>
        <w:t>c</w:t>
      </w:r>
      <w:r>
        <w:rPr>
          <w:rFonts w:hint="default" w:ascii="Arial" w:hAnsi="Arial" w:eastAsia="宋体" w:cs="Arial"/>
          <w:kern w:val="0"/>
          <w:sz w:val="20"/>
          <w:szCs w:val="20"/>
          <w:lang w:val="en-US" w:eastAsia="zh-CN"/>
        </w:rPr>
        <w:t xml:space="preserve">onnected mode UE measurements and </w:t>
      </w:r>
      <w:r>
        <w:rPr>
          <w:rFonts w:hint="eastAsia" w:ascii="Arial" w:hAnsi="Arial" w:eastAsia="宋体" w:cs="Arial"/>
          <w:kern w:val="0"/>
          <w:sz w:val="20"/>
          <w:szCs w:val="20"/>
          <w:lang w:val="en-US" w:eastAsia="zh-CN"/>
        </w:rPr>
        <w:t>i</w:t>
      </w:r>
      <w:r>
        <w:rPr>
          <w:rFonts w:hint="default" w:ascii="Arial" w:hAnsi="Arial" w:eastAsia="宋体" w:cs="Arial"/>
          <w:kern w:val="0"/>
          <w:sz w:val="20"/>
          <w:szCs w:val="20"/>
          <w:lang w:val="en-US" w:eastAsia="zh-CN"/>
        </w:rPr>
        <w:t>dle mode UE measurements initiation</w:t>
      </w:r>
      <w:r>
        <w:rPr>
          <w:rFonts w:hint="eastAsia" w:ascii="Arial" w:hAnsi="Arial" w:eastAsia="宋体" w:cs="Arial"/>
          <w:kern w:val="0"/>
          <w:sz w:val="20"/>
          <w:szCs w:val="20"/>
          <w:lang w:val="en-US" w:eastAsia="zh-CN"/>
        </w:rPr>
        <w:t>, we think there is no need to differentiate them because they both refer to the time when a NTN quasi-Earth fixed cell is going to stop serving the area it is currently covering. Both connected mode and idle mode UE can initiate the measurement based on t-Service without any confusion.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There is no need to have a separate t-Service-r18 (apart from the R17 IE) to differentiate between connected mode UE measurements and idle mode UE measurements initiation.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2.2 Open issues on m</w:t>
      </w:r>
      <w:r>
        <w:rPr>
          <w:rFonts w:hint="eastAsia" w:ascii="Arial" w:hAnsi="Arial" w:eastAsia="宋体" w:cs="Arial"/>
          <w:kern w:val="0"/>
          <w:sz w:val="32"/>
          <w:szCs w:val="20"/>
        </w:rPr>
        <w:t>easurement</w:t>
      </w:r>
      <w:r>
        <w:rPr>
          <w:rFonts w:hint="eastAsia" w:ascii="Arial" w:hAnsi="Arial" w:eastAsia="宋体" w:cs="Arial"/>
          <w:kern w:val="0"/>
          <w:sz w:val="32"/>
          <w:szCs w:val="20"/>
          <w:lang w:val="en-US" w:eastAsia="zh-CN"/>
        </w:rPr>
        <w:t>/mobility</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cs="Arial"/>
          <w:b w:val="0"/>
          <w:bCs w:val="0"/>
          <w:sz w:val="20"/>
          <w:szCs w:val="20"/>
          <w:lang w:val="en-US" w:eastAsia="zh-CN"/>
        </w:rPr>
      </w:pPr>
      <w:r>
        <w:rPr>
          <w:rFonts w:hint="eastAsia" w:ascii="Arial" w:hAnsi="Arial" w:eastAsia="宋体" w:cs="Arial"/>
          <w:b w:val="0"/>
          <w:bCs w:val="0"/>
          <w:kern w:val="0"/>
          <w:sz w:val="20"/>
          <w:szCs w:val="20"/>
          <w:lang w:val="en-US" w:eastAsia="zh-CN"/>
        </w:rPr>
        <w:t>In last meeting, RAN2 agreed that for eMTC CHO, time and location-based trigger conditions may be configured independently at least in hard-switch case where gap is assumed to be zero/negligible. For idle/connected measurement, we think the similar mechanism can be reused, i.e. allow the separate configuration for time-based and location-based measurement initiation. In R17 NR NTN, if UE supports time-based measurement initiation, the UE shall perform measurements before the t-Service regardless of the distance between UE and the serving cell reference location or RSRP of the serving cell as specified in TS 38.304 [3], we think this means the time-based and location-based and RSRP-based measurement can be configured jointly. For NB-IoT and eMTC, we understand that the same mechanism can also be applied.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rPr>
                <w:sz w:val="21"/>
                <w:szCs w:val="16"/>
              </w:rPr>
            </w:pPr>
            <w:bookmarkStart w:id="0" w:name="_Toc46502314"/>
            <w:bookmarkStart w:id="1" w:name="_Toc52749291"/>
            <w:bookmarkStart w:id="2" w:name="_Toc37298552"/>
            <w:bookmarkStart w:id="3" w:name="_Toc29245206"/>
            <w:bookmarkStart w:id="4" w:name="_Toc131448885"/>
            <w:r>
              <w:rPr>
                <w:sz w:val="21"/>
                <w:szCs w:val="16"/>
              </w:rPr>
              <w:t>5.2.4.2</w:t>
            </w:r>
            <w:r>
              <w:rPr>
                <w:sz w:val="21"/>
                <w:szCs w:val="16"/>
              </w:rPr>
              <w:tab/>
            </w:r>
            <w:r>
              <w:rPr>
                <w:sz w:val="21"/>
                <w:szCs w:val="16"/>
              </w:rPr>
              <w:t>Measurement rules for cell re-selection</w:t>
            </w:r>
            <w:bookmarkEnd w:id="0"/>
            <w:bookmarkEnd w:id="1"/>
            <w:bookmarkEnd w:id="2"/>
            <w:bookmarkEnd w:id="3"/>
            <w:bookmarkEnd w:id="4"/>
          </w:p>
          <w:p>
            <w:pPr>
              <w:rPr>
                <w:rFonts w:hint="default" w:ascii="Arial" w:hAnsi="Arial" w:eastAsia="宋体" w:cs="Arial"/>
                <w:i/>
                <w:sz w:val="18"/>
                <w:szCs w:val="20"/>
                <w:lang w:val="en-US" w:eastAsia="zh-CN"/>
              </w:rPr>
            </w:pPr>
            <w:r>
              <w:rPr>
                <w:rFonts w:hint="eastAsia" w:ascii="Arial" w:hAnsi="Arial" w:eastAsia="宋体" w:cs="Arial"/>
                <w:i/>
                <w:sz w:val="18"/>
                <w:szCs w:val="20"/>
                <w:lang w:val="en-US" w:eastAsia="zh-CN"/>
              </w:rPr>
              <w:t>&lt;omitted&gt;</w:t>
            </w:r>
          </w:p>
          <w:p>
            <w:pPr>
              <w:rPr>
                <w:rFonts w:hint="eastAsia" w:ascii="Arial" w:hAnsi="Arial" w:cs="Arial"/>
                <w:b w:val="0"/>
                <w:bCs w:val="0"/>
                <w:sz w:val="20"/>
                <w:szCs w:val="20"/>
                <w:vertAlign w:val="baseline"/>
                <w:lang w:val="en-US" w:eastAsia="zh-CN"/>
              </w:rPr>
            </w:pPr>
            <w:r>
              <w:rPr>
                <w:rFonts w:hint="default" w:ascii="Arial" w:hAnsi="Arial" w:eastAsia="宋体" w:cs="Arial"/>
                <w:sz w:val="18"/>
                <w:szCs w:val="20"/>
              </w:rPr>
              <w:t xml:space="preserve">If the </w:t>
            </w:r>
            <w:r>
              <w:rPr>
                <w:rFonts w:hint="default" w:ascii="Arial" w:hAnsi="Arial" w:eastAsia="宋体" w:cs="Arial"/>
                <w:i/>
                <w:sz w:val="18"/>
                <w:szCs w:val="20"/>
              </w:rPr>
              <w:t>t-Service</w:t>
            </w:r>
            <w:r>
              <w:rPr>
                <w:rFonts w:hint="default" w:ascii="Arial" w:hAnsi="Arial" w:eastAsia="宋体" w:cs="Arial"/>
                <w:sz w:val="18"/>
                <w:szCs w:val="20"/>
              </w:rPr>
              <w:t xml:space="preserve"> of the serving cell is present in SIB19, and if UE supports time-based measurement initiation, the UE shall perform intra-frequency, inter-frequency or inter-RAT measurements before the t-Service, </w:t>
            </w:r>
            <w:r>
              <w:rPr>
                <w:rFonts w:hint="default" w:ascii="Arial" w:hAnsi="Arial" w:eastAsia="宋体" w:cs="Arial"/>
                <w:sz w:val="18"/>
                <w:szCs w:val="20"/>
                <w:highlight w:val="yellow"/>
              </w:rPr>
              <w:t>regardless of the distance between UE and the serving cell reference location or whether the serving cell fulfils Srxlev &gt; S</w:t>
            </w:r>
            <w:r>
              <w:rPr>
                <w:rFonts w:hint="default" w:ascii="Arial" w:hAnsi="Arial" w:eastAsia="宋体" w:cs="Arial"/>
                <w:sz w:val="18"/>
                <w:szCs w:val="20"/>
                <w:highlight w:val="yellow"/>
                <w:vertAlign w:val="subscript"/>
              </w:rPr>
              <w:t>IntraSearchP</w:t>
            </w:r>
            <w:r>
              <w:rPr>
                <w:rFonts w:hint="default" w:ascii="Arial" w:hAnsi="Arial" w:eastAsia="宋体" w:cs="Arial"/>
                <w:sz w:val="18"/>
                <w:szCs w:val="20"/>
                <w:highlight w:val="yellow"/>
              </w:rPr>
              <w:t xml:space="preserve"> and Squal &gt; S</w:t>
            </w:r>
            <w:r>
              <w:rPr>
                <w:rFonts w:hint="default" w:ascii="Arial" w:hAnsi="Arial" w:eastAsia="宋体" w:cs="Arial"/>
                <w:sz w:val="18"/>
                <w:szCs w:val="20"/>
                <w:highlight w:val="yellow"/>
                <w:vertAlign w:val="subscript"/>
              </w:rPr>
              <w:t>IntraSearchQ</w:t>
            </w:r>
            <w:r>
              <w:rPr>
                <w:rFonts w:hint="default" w:ascii="Arial" w:hAnsi="Arial" w:eastAsia="宋体" w:cs="Arial"/>
                <w:sz w:val="18"/>
                <w:szCs w:val="20"/>
                <w:highlight w:val="yellow"/>
              </w:rPr>
              <w:t>, or Srxlev &gt; S</w:t>
            </w:r>
            <w:r>
              <w:rPr>
                <w:rFonts w:hint="default" w:ascii="Arial" w:hAnsi="Arial" w:eastAsia="宋体" w:cs="Arial"/>
                <w:sz w:val="18"/>
                <w:szCs w:val="20"/>
                <w:highlight w:val="yellow"/>
                <w:vertAlign w:val="subscript"/>
              </w:rPr>
              <w:t>nonIntraSearchP</w:t>
            </w:r>
            <w:r>
              <w:rPr>
                <w:rFonts w:hint="default" w:ascii="Arial" w:hAnsi="Arial" w:eastAsia="宋体" w:cs="Arial"/>
                <w:sz w:val="18"/>
                <w:szCs w:val="20"/>
                <w:highlight w:val="yellow"/>
              </w:rPr>
              <w:t xml:space="preserve"> and Squal &gt; S</w:t>
            </w:r>
            <w:r>
              <w:rPr>
                <w:rFonts w:hint="default" w:ascii="Arial" w:hAnsi="Arial" w:eastAsia="宋体" w:cs="Arial"/>
                <w:sz w:val="18"/>
                <w:szCs w:val="20"/>
                <w:highlight w:val="yellow"/>
                <w:vertAlign w:val="subscript"/>
              </w:rPr>
              <w:t>nonIntraSearchQ</w:t>
            </w:r>
            <w:r>
              <w:rPr>
                <w:rFonts w:hint="default" w:ascii="Arial" w:hAnsi="Arial" w:eastAsia="宋体" w:cs="Arial"/>
                <w:sz w:val="18"/>
                <w:szCs w:val="20"/>
                <w:highlight w:val="yellow"/>
              </w:rPr>
              <w:t>,</w:t>
            </w:r>
            <w:r>
              <w:rPr>
                <w:rFonts w:hint="default" w:ascii="Arial" w:hAnsi="Arial" w:eastAsia="宋体" w:cs="Arial"/>
                <w:sz w:val="18"/>
                <w:szCs w:val="20"/>
              </w:rPr>
              <w:t xml:space="preserve"> The exact time to start measurement before </w:t>
            </w:r>
            <w:r>
              <w:rPr>
                <w:rFonts w:hint="default" w:ascii="Arial" w:hAnsi="Arial" w:eastAsia="宋体" w:cs="Arial"/>
                <w:i/>
                <w:sz w:val="18"/>
                <w:szCs w:val="20"/>
              </w:rPr>
              <w:t>t-Service</w:t>
            </w:r>
            <w:r>
              <w:rPr>
                <w:rFonts w:hint="default" w:ascii="Arial" w:hAnsi="Arial" w:eastAsia="宋体" w:cs="Arial"/>
                <w:sz w:val="18"/>
                <w:szCs w:val="20"/>
              </w:rPr>
              <w:t xml:space="preserve"> is up to UE implementation. UE shall perform measurements of higher priority NR inter-frequency or inter-RAT frequencies according to TS 38.133 [8] regardless of the remaining service time of the serving cell (i.e. time remaining until </w:t>
            </w:r>
            <w:r>
              <w:rPr>
                <w:rFonts w:hint="default" w:ascii="Arial" w:hAnsi="Arial" w:eastAsia="宋体" w:cs="Arial"/>
                <w:i/>
                <w:iCs/>
                <w:sz w:val="18"/>
                <w:szCs w:val="20"/>
              </w:rPr>
              <w:t>t-Service</w:t>
            </w:r>
            <w:r>
              <w:rPr>
                <w:rFonts w:hint="default" w:ascii="Arial" w:hAnsi="Arial" w:eastAsia="宋体" w:cs="Arial"/>
                <w:sz w:val="18"/>
                <w:szCs w:val="20"/>
              </w:rPr>
              <w:t>).</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IoT-NTN, time-based, location-based and RSRP-based measurement initiation can be configured jointly.</w:t>
      </w:r>
    </w:p>
    <w:p>
      <w:pPr>
        <w:widowControl/>
        <w:numPr>
          <w:ilvl w:val="0"/>
          <w:numId w:val="0"/>
        </w:numPr>
        <w:spacing w:after="180"/>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The joint configuration of time-based and RSRP-based measurement has been captured in current TS 36.304 [4], if time-based and location-based is configured jointly, the UE shall perform time-based measurement which is similar to NTN.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rPr>
                <w:sz w:val="21"/>
                <w:szCs w:val="16"/>
              </w:rPr>
            </w:pPr>
            <w:r>
              <w:rPr>
                <w:sz w:val="21"/>
                <w:szCs w:val="16"/>
              </w:rPr>
              <w:t>5.2.4.2</w:t>
            </w:r>
            <w:r>
              <w:rPr>
                <w:sz w:val="21"/>
                <w:szCs w:val="16"/>
              </w:rPr>
              <w:tab/>
            </w:r>
            <w:r>
              <w:rPr>
                <w:sz w:val="21"/>
                <w:szCs w:val="16"/>
              </w:rPr>
              <w:t>Measurement rules for cell re-selection</w:t>
            </w:r>
          </w:p>
          <w:p>
            <w:pPr>
              <w:rPr>
                <w:rFonts w:hint="default" w:ascii="Arial" w:hAnsi="Arial" w:eastAsia="宋体" w:cs="Arial"/>
                <w:i/>
                <w:sz w:val="18"/>
                <w:szCs w:val="20"/>
                <w:lang w:val="en-US" w:eastAsia="zh-CN"/>
              </w:rPr>
            </w:pPr>
            <w:r>
              <w:rPr>
                <w:rFonts w:hint="eastAsia" w:ascii="Arial" w:hAnsi="Arial" w:eastAsia="宋体" w:cs="Arial"/>
                <w:i/>
                <w:sz w:val="18"/>
                <w:szCs w:val="20"/>
                <w:lang w:val="en-US" w:eastAsia="zh-CN"/>
              </w:rPr>
              <w:t>&lt;omitted&gt;</w:t>
            </w:r>
          </w:p>
          <w:p>
            <w:pPr>
              <w:widowControl/>
              <w:numPr>
                <w:ilvl w:val="0"/>
                <w:numId w:val="0"/>
              </w:numPr>
              <w:spacing w:after="180"/>
              <w:rPr>
                <w:rFonts w:hint="default" w:ascii="Arial" w:hAnsi="Arial" w:eastAsia="宋体" w:cs="Arial"/>
                <w:b w:val="0"/>
                <w:bCs w:val="0"/>
                <w:kern w:val="0"/>
                <w:sz w:val="20"/>
                <w:szCs w:val="20"/>
                <w:vertAlign w:val="baseline"/>
                <w:lang w:val="en-US" w:eastAsia="zh-CN"/>
              </w:rPr>
            </w:pPr>
            <w:r>
              <w:rPr>
                <w:rFonts w:hint="default" w:ascii="Arial" w:hAnsi="Arial" w:cs="Arial"/>
                <w:sz w:val="18"/>
                <w:szCs w:val="20"/>
              </w:rPr>
              <w:t xml:space="preserve">If </w:t>
            </w:r>
            <w:r>
              <w:rPr>
                <w:rFonts w:hint="default" w:ascii="Arial" w:hAnsi="Arial" w:cs="Arial"/>
                <w:i/>
                <w:iCs/>
                <w:sz w:val="18"/>
                <w:szCs w:val="20"/>
              </w:rPr>
              <w:t>t-Service</w:t>
            </w:r>
            <w:r>
              <w:rPr>
                <w:rFonts w:hint="default" w:ascii="Arial" w:hAnsi="Arial" w:cs="Arial"/>
                <w:sz w:val="18"/>
                <w:szCs w:val="20"/>
              </w:rPr>
              <w:t xml:space="preserve"> is present in </w:t>
            </w:r>
            <w:r>
              <w:rPr>
                <w:rFonts w:hint="default" w:ascii="Arial" w:hAnsi="Arial" w:cs="Arial"/>
                <w:i/>
                <w:iCs/>
                <w:sz w:val="18"/>
                <w:szCs w:val="20"/>
              </w:rPr>
              <w:t xml:space="preserve">SystemInformationBlockType3 </w:t>
            </w:r>
            <w:r>
              <w:rPr>
                <w:rFonts w:hint="default" w:ascii="Arial" w:hAnsi="Arial" w:cs="Arial"/>
                <w:sz w:val="18"/>
                <w:szCs w:val="20"/>
              </w:rPr>
              <w:t xml:space="preserve">of the serving cell, UE shall perform intra-frequency, inter-frequency or inter-RAT measurements, before the time </w:t>
            </w:r>
            <w:r>
              <w:rPr>
                <w:rFonts w:hint="default" w:ascii="Arial" w:hAnsi="Arial" w:cs="Arial"/>
                <w:i/>
                <w:iCs/>
                <w:sz w:val="18"/>
                <w:szCs w:val="20"/>
              </w:rPr>
              <w:t>t-Service</w:t>
            </w:r>
            <w:r>
              <w:rPr>
                <w:rFonts w:hint="default" w:ascii="Arial" w:hAnsi="Arial" w:cs="Arial"/>
                <w:sz w:val="18"/>
                <w:szCs w:val="20"/>
              </w:rPr>
              <w:t xml:space="preserve"> </w:t>
            </w:r>
            <w:r>
              <w:rPr>
                <w:rFonts w:hint="default" w:ascii="Arial" w:hAnsi="Arial" w:cs="Arial"/>
                <w:sz w:val="18"/>
                <w:szCs w:val="20"/>
                <w:highlight w:val="yellow"/>
              </w:rPr>
              <w:t>regardless whether the serving cell fulfils Srxlev</w:t>
            </w:r>
            <w:r>
              <w:rPr>
                <w:rFonts w:hint="default" w:ascii="Arial" w:hAnsi="Arial" w:cs="Arial"/>
                <w:sz w:val="18"/>
                <w:szCs w:val="20"/>
                <w:highlight w:val="yellow"/>
                <w:vertAlign w:val="subscript"/>
              </w:rPr>
              <w:t xml:space="preserve"> </w:t>
            </w:r>
            <w:r>
              <w:rPr>
                <w:rFonts w:hint="default" w:ascii="Arial" w:hAnsi="Arial" w:cs="Arial"/>
                <w:sz w:val="18"/>
                <w:szCs w:val="20"/>
                <w:highlight w:val="yellow"/>
              </w:rPr>
              <w:t>&gt; S</w:t>
            </w:r>
            <w:r>
              <w:rPr>
                <w:rFonts w:hint="default" w:ascii="Arial" w:hAnsi="Arial" w:cs="Arial"/>
                <w:sz w:val="18"/>
                <w:szCs w:val="20"/>
                <w:highlight w:val="yellow"/>
                <w:vertAlign w:val="subscript"/>
              </w:rPr>
              <w:t>IntraSearchP</w:t>
            </w:r>
            <w:r>
              <w:rPr>
                <w:rFonts w:hint="default" w:ascii="Arial" w:hAnsi="Arial" w:cs="Arial"/>
                <w:sz w:val="18"/>
                <w:szCs w:val="20"/>
                <w:highlight w:val="yellow"/>
              </w:rPr>
              <w:t xml:space="preserve"> and Squal &gt; S</w:t>
            </w:r>
            <w:r>
              <w:rPr>
                <w:rFonts w:hint="default" w:ascii="Arial" w:hAnsi="Arial" w:cs="Arial"/>
                <w:sz w:val="18"/>
                <w:szCs w:val="20"/>
                <w:highlight w:val="yellow"/>
                <w:vertAlign w:val="subscript"/>
              </w:rPr>
              <w:t>IntraSearchQ</w:t>
            </w:r>
            <w:r>
              <w:rPr>
                <w:rFonts w:hint="default" w:ascii="Arial" w:hAnsi="Arial" w:cs="Arial"/>
                <w:sz w:val="18"/>
                <w:szCs w:val="20"/>
                <w:highlight w:val="yellow"/>
              </w:rPr>
              <w:t>, or Srxlev &gt; S</w:t>
            </w:r>
            <w:r>
              <w:rPr>
                <w:rFonts w:hint="default" w:ascii="Arial" w:hAnsi="Arial" w:cs="Arial"/>
                <w:sz w:val="18"/>
                <w:szCs w:val="20"/>
                <w:highlight w:val="yellow"/>
                <w:vertAlign w:val="subscript"/>
              </w:rPr>
              <w:t>nonIntraSearchP</w:t>
            </w:r>
            <w:r>
              <w:rPr>
                <w:rFonts w:hint="default" w:ascii="Arial" w:hAnsi="Arial" w:cs="Arial"/>
                <w:sz w:val="18"/>
                <w:szCs w:val="20"/>
                <w:highlight w:val="yellow"/>
              </w:rPr>
              <w:t xml:space="preserve"> and Squal &gt; S</w:t>
            </w:r>
            <w:r>
              <w:rPr>
                <w:rFonts w:hint="default" w:ascii="Arial" w:hAnsi="Arial" w:cs="Arial"/>
                <w:sz w:val="18"/>
                <w:szCs w:val="20"/>
                <w:highlight w:val="yellow"/>
                <w:vertAlign w:val="subscript"/>
              </w:rPr>
              <w:t>nonIntraSearchQ</w:t>
            </w:r>
            <w:r>
              <w:rPr>
                <w:rFonts w:hint="default" w:ascii="Arial" w:hAnsi="Arial" w:cs="Arial"/>
                <w:sz w:val="18"/>
                <w:szCs w:val="20"/>
                <w:highlight w:val="yellow"/>
              </w:rPr>
              <w:t>.</w:t>
            </w:r>
            <w:r>
              <w:rPr>
                <w:rFonts w:hint="default" w:ascii="Arial" w:hAnsi="Arial" w:cs="Arial"/>
                <w:sz w:val="18"/>
                <w:szCs w:val="20"/>
              </w:rPr>
              <w:t xml:space="preserve"> </w:t>
            </w:r>
            <w:r>
              <w:rPr>
                <w:rFonts w:hint="default" w:ascii="Arial" w:hAnsi="Arial" w:eastAsia="宋体" w:cs="Arial"/>
                <w:b w:val="0"/>
                <w:bCs w:val="0"/>
                <w:kern w:val="0"/>
                <w:sz w:val="18"/>
                <w:szCs w:val="18"/>
                <w:vertAlign w:val="baseline"/>
                <w:lang w:val="en-US" w:eastAsia="zh-CN"/>
              </w:rPr>
              <w:t>The exact time to start measurements before t-Service is up to UE implementation. UE shall perform measurements of higher priority inter-frequencies or inter-RAT frequencies regardless of the remaining service time of the serving cell.</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textAlignment w:val="auto"/>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Therefore, the following proposal is proposed.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If </w:t>
      </w:r>
      <w:r>
        <w:rPr>
          <w:rFonts w:hint="eastAsia" w:ascii="Arial" w:hAnsi="Arial" w:eastAsia="宋体" w:cs="Arial"/>
          <w:b/>
          <w:bCs/>
          <w:i/>
          <w:iCs/>
          <w:kern w:val="0"/>
          <w:sz w:val="20"/>
          <w:szCs w:val="20"/>
          <w:lang w:val="en-US" w:eastAsia="zh-CN"/>
        </w:rPr>
        <w:t>t-Service</w:t>
      </w:r>
      <w:r>
        <w:rPr>
          <w:rFonts w:hint="eastAsia" w:ascii="Arial" w:hAnsi="Arial" w:eastAsia="宋体" w:cs="Arial"/>
          <w:b/>
          <w:bCs/>
          <w:kern w:val="0"/>
          <w:sz w:val="20"/>
          <w:szCs w:val="20"/>
          <w:lang w:val="en-US" w:eastAsia="zh-CN"/>
        </w:rPr>
        <w:t xml:space="preserve"> is present in </w:t>
      </w:r>
      <w:r>
        <w:rPr>
          <w:rFonts w:hint="eastAsia" w:ascii="Arial" w:hAnsi="Arial" w:eastAsia="宋体" w:cs="Arial"/>
          <w:b/>
          <w:bCs/>
          <w:i/>
          <w:iCs/>
          <w:kern w:val="0"/>
          <w:sz w:val="20"/>
          <w:szCs w:val="20"/>
          <w:lang w:val="en-US" w:eastAsia="zh-CN"/>
        </w:rPr>
        <w:t xml:space="preserve">SystemInformationBlockType3 </w:t>
      </w:r>
      <w:r>
        <w:rPr>
          <w:rFonts w:hint="eastAsia" w:ascii="Arial" w:hAnsi="Arial" w:eastAsia="宋体" w:cs="Arial"/>
          <w:b/>
          <w:bCs/>
          <w:kern w:val="0"/>
          <w:sz w:val="20"/>
          <w:szCs w:val="20"/>
          <w:lang w:val="en-US" w:eastAsia="zh-CN"/>
        </w:rPr>
        <w:t xml:space="preserve">of the serving cell, UE shall perform intra-frequency, inter-frequency or inter-RAT measurements, before the time </w:t>
      </w:r>
      <w:r>
        <w:rPr>
          <w:rFonts w:hint="eastAsia" w:ascii="Arial" w:hAnsi="Arial" w:eastAsia="宋体" w:cs="Arial"/>
          <w:b/>
          <w:bCs/>
          <w:i/>
          <w:iCs/>
          <w:kern w:val="0"/>
          <w:sz w:val="20"/>
          <w:szCs w:val="20"/>
          <w:lang w:val="en-US" w:eastAsia="zh-CN"/>
        </w:rPr>
        <w:t>t-Service</w:t>
      </w:r>
      <w:r>
        <w:rPr>
          <w:rFonts w:hint="eastAsia" w:ascii="Arial" w:hAnsi="Arial" w:eastAsia="宋体" w:cs="Arial"/>
          <w:b/>
          <w:bCs/>
          <w:kern w:val="0"/>
          <w:sz w:val="20"/>
          <w:szCs w:val="20"/>
          <w:lang w:val="en-US" w:eastAsia="zh-CN"/>
        </w:rPr>
        <w:t xml:space="preserve"> regardless whether the serving cell fulfils Srxlev &gt; S</w:t>
      </w:r>
      <w:r>
        <w:rPr>
          <w:rFonts w:hint="eastAsia" w:ascii="Arial" w:hAnsi="Arial" w:eastAsia="宋体" w:cs="Arial"/>
          <w:b/>
          <w:bCs/>
          <w:kern w:val="0"/>
          <w:sz w:val="20"/>
          <w:szCs w:val="20"/>
          <w:vertAlign w:val="subscript"/>
          <w:lang w:val="en-US" w:eastAsia="zh-CN"/>
        </w:rPr>
        <w:t>IntraSearchP</w:t>
      </w:r>
      <w:r>
        <w:rPr>
          <w:rFonts w:hint="eastAsia" w:ascii="Arial" w:hAnsi="Arial" w:eastAsia="宋体" w:cs="Arial"/>
          <w:b/>
          <w:bCs/>
          <w:kern w:val="0"/>
          <w:sz w:val="20"/>
          <w:szCs w:val="20"/>
          <w:lang w:val="en-US" w:eastAsia="zh-CN"/>
        </w:rPr>
        <w:t xml:space="preserve"> and Squal &gt; S</w:t>
      </w:r>
      <w:r>
        <w:rPr>
          <w:rFonts w:hint="eastAsia" w:ascii="Arial" w:hAnsi="Arial" w:eastAsia="宋体" w:cs="Arial"/>
          <w:b/>
          <w:bCs/>
          <w:kern w:val="0"/>
          <w:sz w:val="20"/>
          <w:szCs w:val="20"/>
          <w:vertAlign w:val="subscript"/>
          <w:lang w:val="en-US" w:eastAsia="zh-CN"/>
        </w:rPr>
        <w:t>IntraSearchQ</w:t>
      </w:r>
      <w:r>
        <w:rPr>
          <w:rFonts w:hint="eastAsia" w:ascii="Arial" w:hAnsi="Arial" w:eastAsia="宋体" w:cs="Arial"/>
          <w:b/>
          <w:bCs/>
          <w:kern w:val="0"/>
          <w:sz w:val="20"/>
          <w:szCs w:val="20"/>
          <w:lang w:val="en-US" w:eastAsia="zh-CN"/>
        </w:rPr>
        <w:t>, or Srxlev &gt; S</w:t>
      </w:r>
      <w:r>
        <w:rPr>
          <w:rFonts w:hint="eastAsia" w:ascii="Arial" w:hAnsi="Arial" w:eastAsia="宋体" w:cs="Arial"/>
          <w:b/>
          <w:bCs/>
          <w:kern w:val="0"/>
          <w:sz w:val="20"/>
          <w:szCs w:val="20"/>
          <w:vertAlign w:val="subscript"/>
          <w:lang w:val="en-US" w:eastAsia="zh-CN"/>
        </w:rPr>
        <w:t>nonIntraSearchP</w:t>
      </w:r>
      <w:r>
        <w:rPr>
          <w:rFonts w:hint="eastAsia" w:ascii="Arial" w:hAnsi="Arial" w:eastAsia="宋体" w:cs="Arial"/>
          <w:b/>
          <w:bCs/>
          <w:kern w:val="0"/>
          <w:sz w:val="20"/>
          <w:szCs w:val="20"/>
          <w:lang w:val="en-US" w:eastAsia="zh-CN"/>
        </w:rPr>
        <w:t xml:space="preserve"> and Squal &gt; S</w:t>
      </w:r>
      <w:r>
        <w:rPr>
          <w:rFonts w:hint="eastAsia" w:ascii="Arial" w:hAnsi="Arial" w:eastAsia="宋体" w:cs="Arial"/>
          <w:b/>
          <w:bCs/>
          <w:kern w:val="0"/>
          <w:sz w:val="20"/>
          <w:szCs w:val="20"/>
          <w:vertAlign w:val="subscript"/>
          <w:lang w:val="en-US" w:eastAsia="zh-CN"/>
        </w:rPr>
        <w:t>nonIntraSearchQ</w:t>
      </w:r>
      <w:r>
        <w:rPr>
          <w:rFonts w:hint="eastAsia" w:ascii="Arial" w:hAnsi="Arial" w:eastAsia="宋体" w:cs="Arial"/>
          <w:b/>
          <w:bCs/>
          <w:kern w:val="0"/>
          <w:sz w:val="20"/>
          <w:szCs w:val="20"/>
          <w:lang w:val="en-US" w:eastAsia="zh-CN"/>
        </w:rPr>
        <w:t xml:space="preserve">. </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mobility</w:t>
      </w:r>
      <w:r>
        <w:rPr>
          <w:rFonts w:ascii="Arial" w:hAnsi="Arial" w:eastAsia="宋体" w:cs="Arial"/>
          <w:kern w:val="0"/>
          <w:sz w:val="20"/>
          <w:szCs w:val="20"/>
          <w:lang w:val="en-GB" w:eastAsia="en-US"/>
        </w:rPr>
        <w:t xml:space="preserve"> 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The </w:t>
      </w:r>
      <w:r>
        <w:rPr>
          <w:rFonts w:hint="eastAsia" w:ascii="Arial" w:hAnsi="Arial" w:eastAsia="宋体" w:cs="Arial"/>
          <w:b/>
          <w:bCs/>
          <w:i/>
          <w:iCs/>
          <w:kern w:val="0"/>
          <w:sz w:val="20"/>
          <w:szCs w:val="20"/>
          <w:lang w:val="en-US" w:eastAsia="zh-CN"/>
        </w:rPr>
        <w:t>t-ServiceStart</w:t>
      </w:r>
      <w:r>
        <w:rPr>
          <w:rFonts w:hint="eastAsia" w:ascii="Arial" w:hAnsi="Arial" w:eastAsia="宋体" w:cs="Arial"/>
          <w:b/>
          <w:bCs/>
          <w:kern w:val="0"/>
          <w:sz w:val="20"/>
          <w:szCs w:val="20"/>
          <w:lang w:val="en-US" w:eastAsia="zh-CN"/>
        </w:rPr>
        <w:t xml:space="preserve"> for quasi-earth fixed neighbor cells is per neighbor cell.</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cs="Arial"/>
          <w:b/>
          <w:bCs/>
          <w:sz w:val="20"/>
          <w:szCs w:val="20"/>
          <w:lang w:val="en-US" w:eastAsia="zh-CN"/>
        </w:rPr>
      </w:pPr>
      <w:r>
        <w:rPr>
          <w:rFonts w:hint="eastAsia" w:ascii="Arial" w:hAnsi="Arial" w:eastAsia="宋体" w:cs="Arial"/>
          <w:b/>
          <w:bCs/>
          <w:kern w:val="0"/>
          <w:sz w:val="20"/>
          <w:szCs w:val="20"/>
          <w:lang w:val="en-US" w:eastAsia="zh-CN"/>
        </w:rPr>
        <w:t xml:space="preserve">Proposal 2: </w:t>
      </w:r>
      <w:r>
        <w:rPr>
          <w:rFonts w:hint="eastAsia" w:ascii="Arial" w:hAnsi="Arial" w:cs="Arial"/>
          <w:b/>
          <w:bCs/>
          <w:color w:val="auto"/>
          <w:sz w:val="20"/>
          <w:szCs w:val="20"/>
          <w:lang w:val="en-US" w:eastAsia="zh-CN"/>
        </w:rPr>
        <w:t>I</w:t>
      </w:r>
      <w:r>
        <w:rPr>
          <w:rFonts w:hint="eastAsia" w:ascii="Arial" w:hAnsi="Arial" w:eastAsia="宋体" w:cs="Arial"/>
          <w:b/>
          <w:bCs/>
          <w:kern w:val="0"/>
          <w:sz w:val="20"/>
          <w:szCs w:val="20"/>
          <w:lang w:val="en-US" w:eastAsia="zh-CN"/>
        </w:rPr>
        <w:t xml:space="preserve">ntroduce separate reference locations for </w:t>
      </w:r>
      <w:r>
        <w:rPr>
          <w:rFonts w:hint="eastAsia" w:ascii="Arial" w:hAnsi="Arial" w:cs="Arial"/>
          <w:b/>
          <w:bCs/>
          <w:color w:val="auto"/>
          <w:sz w:val="20"/>
          <w:szCs w:val="20"/>
          <w:lang w:val="en-US" w:eastAsia="zh-CN"/>
        </w:rPr>
        <w:t xml:space="preserve">quasi-earth fixed cell and earth </w:t>
      </w:r>
      <w:r>
        <w:rPr>
          <w:rFonts w:hint="default" w:ascii="Arial" w:hAnsi="Arial" w:cs="Arial"/>
          <w:b/>
          <w:bCs/>
          <w:color w:val="auto"/>
          <w:sz w:val="20"/>
          <w:szCs w:val="20"/>
        </w:rPr>
        <w:t>moving cell</w:t>
      </w:r>
      <w:r>
        <w:rPr>
          <w:rFonts w:hint="eastAsia" w:ascii="Arial" w:hAnsi="Arial" w:cs="Arial"/>
          <w:b/>
          <w:b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There is no need to have a separate t-Service-r18 (apart from the R17 IE) to differentiate between connected mode UE measurements and idle mode UE measurements initiation.</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IoT-NTN, time-based, location-based and RSRP-based measurement initiation can be configured jointly.</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after="18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5: If </w:t>
      </w:r>
      <w:r>
        <w:rPr>
          <w:rFonts w:hint="eastAsia" w:ascii="Arial" w:hAnsi="Arial" w:eastAsia="宋体" w:cs="Arial"/>
          <w:b/>
          <w:bCs/>
          <w:i/>
          <w:iCs/>
          <w:kern w:val="0"/>
          <w:sz w:val="20"/>
          <w:szCs w:val="20"/>
          <w:lang w:val="en-US" w:eastAsia="zh-CN"/>
        </w:rPr>
        <w:t>t-Service</w:t>
      </w:r>
      <w:r>
        <w:rPr>
          <w:rFonts w:hint="eastAsia" w:ascii="Arial" w:hAnsi="Arial" w:eastAsia="宋体" w:cs="Arial"/>
          <w:b/>
          <w:bCs/>
          <w:kern w:val="0"/>
          <w:sz w:val="20"/>
          <w:szCs w:val="20"/>
          <w:lang w:val="en-US" w:eastAsia="zh-CN"/>
        </w:rPr>
        <w:t xml:space="preserve"> is present in </w:t>
      </w:r>
      <w:r>
        <w:rPr>
          <w:rFonts w:hint="eastAsia" w:ascii="Arial" w:hAnsi="Arial" w:eastAsia="宋体" w:cs="Arial"/>
          <w:b/>
          <w:bCs/>
          <w:i/>
          <w:iCs/>
          <w:kern w:val="0"/>
          <w:sz w:val="20"/>
          <w:szCs w:val="20"/>
          <w:lang w:val="en-US" w:eastAsia="zh-CN"/>
        </w:rPr>
        <w:t xml:space="preserve">SystemInformationBlockType3 </w:t>
      </w:r>
      <w:r>
        <w:rPr>
          <w:rFonts w:hint="eastAsia" w:ascii="Arial" w:hAnsi="Arial" w:eastAsia="宋体" w:cs="Arial"/>
          <w:b/>
          <w:bCs/>
          <w:kern w:val="0"/>
          <w:sz w:val="20"/>
          <w:szCs w:val="20"/>
          <w:lang w:val="en-US" w:eastAsia="zh-CN"/>
        </w:rPr>
        <w:t xml:space="preserve">of the serving cell, UE shall perform intra-frequency, inter-frequency or inter-RAT measurements, before the time </w:t>
      </w:r>
      <w:r>
        <w:rPr>
          <w:rFonts w:hint="eastAsia" w:ascii="Arial" w:hAnsi="Arial" w:eastAsia="宋体" w:cs="Arial"/>
          <w:b/>
          <w:bCs/>
          <w:i/>
          <w:iCs/>
          <w:kern w:val="0"/>
          <w:sz w:val="20"/>
          <w:szCs w:val="20"/>
          <w:lang w:val="en-US" w:eastAsia="zh-CN"/>
        </w:rPr>
        <w:t>t-Service</w:t>
      </w:r>
      <w:r>
        <w:rPr>
          <w:rFonts w:hint="eastAsia" w:ascii="Arial" w:hAnsi="Arial" w:eastAsia="宋体" w:cs="Arial"/>
          <w:b/>
          <w:bCs/>
          <w:kern w:val="0"/>
          <w:sz w:val="20"/>
          <w:szCs w:val="20"/>
          <w:lang w:val="en-US" w:eastAsia="zh-CN"/>
        </w:rPr>
        <w:t xml:space="preserve"> regardless whether the serving cell fulfils Srxlev &gt; S</w:t>
      </w:r>
      <w:r>
        <w:rPr>
          <w:rFonts w:hint="eastAsia" w:ascii="Arial" w:hAnsi="Arial" w:eastAsia="宋体" w:cs="Arial"/>
          <w:b/>
          <w:bCs/>
          <w:kern w:val="0"/>
          <w:sz w:val="20"/>
          <w:szCs w:val="20"/>
          <w:vertAlign w:val="subscript"/>
          <w:lang w:val="en-US" w:eastAsia="zh-CN"/>
        </w:rPr>
        <w:t>IntraSearchP</w:t>
      </w:r>
      <w:r>
        <w:rPr>
          <w:rFonts w:hint="eastAsia" w:ascii="Arial" w:hAnsi="Arial" w:eastAsia="宋体" w:cs="Arial"/>
          <w:b/>
          <w:bCs/>
          <w:kern w:val="0"/>
          <w:sz w:val="20"/>
          <w:szCs w:val="20"/>
          <w:lang w:val="en-US" w:eastAsia="zh-CN"/>
        </w:rPr>
        <w:t xml:space="preserve"> and Squal &gt; S</w:t>
      </w:r>
      <w:r>
        <w:rPr>
          <w:rFonts w:hint="eastAsia" w:ascii="Arial" w:hAnsi="Arial" w:eastAsia="宋体" w:cs="Arial"/>
          <w:b/>
          <w:bCs/>
          <w:kern w:val="0"/>
          <w:sz w:val="20"/>
          <w:szCs w:val="20"/>
          <w:vertAlign w:val="subscript"/>
          <w:lang w:val="en-US" w:eastAsia="zh-CN"/>
        </w:rPr>
        <w:t>IntraSearchQ</w:t>
      </w:r>
      <w:r>
        <w:rPr>
          <w:rFonts w:hint="eastAsia" w:ascii="Arial" w:hAnsi="Arial" w:eastAsia="宋体" w:cs="Arial"/>
          <w:b/>
          <w:bCs/>
          <w:kern w:val="0"/>
          <w:sz w:val="20"/>
          <w:szCs w:val="20"/>
          <w:lang w:val="en-US" w:eastAsia="zh-CN"/>
        </w:rPr>
        <w:t>, or Srxlev &gt; S</w:t>
      </w:r>
      <w:r>
        <w:rPr>
          <w:rFonts w:hint="eastAsia" w:ascii="Arial" w:hAnsi="Arial" w:eastAsia="宋体" w:cs="Arial"/>
          <w:b/>
          <w:bCs/>
          <w:kern w:val="0"/>
          <w:sz w:val="20"/>
          <w:szCs w:val="20"/>
          <w:vertAlign w:val="subscript"/>
          <w:lang w:val="en-US" w:eastAsia="zh-CN"/>
        </w:rPr>
        <w:t>nonIntraSearchP</w:t>
      </w:r>
      <w:r>
        <w:rPr>
          <w:rFonts w:hint="eastAsia" w:ascii="Arial" w:hAnsi="Arial" w:eastAsia="宋体" w:cs="Arial"/>
          <w:b/>
          <w:bCs/>
          <w:kern w:val="0"/>
          <w:sz w:val="20"/>
          <w:szCs w:val="20"/>
          <w:lang w:val="en-US" w:eastAsia="zh-CN"/>
        </w:rPr>
        <w:t xml:space="preserve"> and Squal &gt; S</w:t>
      </w:r>
      <w:r>
        <w:rPr>
          <w:rFonts w:hint="eastAsia" w:ascii="Arial" w:hAnsi="Arial" w:eastAsia="宋体" w:cs="Arial"/>
          <w:b/>
          <w:bCs/>
          <w:kern w:val="0"/>
          <w:sz w:val="20"/>
          <w:szCs w:val="20"/>
          <w:vertAlign w:val="subscript"/>
          <w:lang w:val="en-US" w:eastAsia="zh-CN"/>
        </w:rPr>
        <w:t>nonIntraSearchQ</w:t>
      </w:r>
      <w:r>
        <w:rPr>
          <w:rFonts w:hint="eastAsia" w:ascii="Arial" w:hAnsi="Arial" w:eastAsia="宋体" w:cs="Arial"/>
          <w:b/>
          <w:bCs/>
          <w:kern w:val="0"/>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b/>
          <w:bCs/>
          <w:kern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eastAsia="en-US"/>
        </w:rPr>
        <w:t>_meeting_report_v1</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R2-2307192 </w:t>
      </w:r>
      <w:r>
        <w:rPr>
          <w:rFonts w:hint="eastAsia" w:ascii="Arial" w:hAnsi="Arial" w:eastAsia="宋体" w:cs="Arial"/>
          <w:kern w:val="0"/>
          <w:sz w:val="20"/>
          <w:szCs w:val="20"/>
          <w:lang w:val="en-GB" w:eastAsia="en-US"/>
        </w:rPr>
        <w:t>Report of [Post122][112][IoT NTN Enh] Mobility enhancements</w:t>
      </w:r>
      <w:r>
        <w:rPr>
          <w:rFonts w:hint="eastAsia" w:ascii="Arial" w:hAnsi="Arial" w:eastAsia="宋体" w:cs="Arial"/>
          <w:kern w:val="0"/>
          <w:sz w:val="20"/>
          <w:szCs w:val="20"/>
          <w:lang w:val="en-US" w:eastAsia="zh-CN"/>
        </w:rPr>
        <w:t xml:space="preserve"> (MediaTek)</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38.304, NR; User Equipment (UE) procedures in Idle mode and RRC Inactive state</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36.304, Evolved Universal Terrestrial Radio Access (E-UTRA); User Equipment (UE) procedures in idle mode</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359E3"/>
    <w:multiLevelType w:val="multilevel"/>
    <w:tmpl w:val="18F359E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722676BD"/>
    <w:multiLevelType w:val="multilevel"/>
    <w:tmpl w:val="722676BD"/>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65869"/>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179E9"/>
    <w:rsid w:val="00523942"/>
    <w:rsid w:val="00525BBB"/>
    <w:rsid w:val="005C3989"/>
    <w:rsid w:val="005E7E07"/>
    <w:rsid w:val="006100C7"/>
    <w:rsid w:val="00610B28"/>
    <w:rsid w:val="006743B8"/>
    <w:rsid w:val="00680623"/>
    <w:rsid w:val="006A4FB5"/>
    <w:rsid w:val="006B0BFB"/>
    <w:rsid w:val="006D1DA8"/>
    <w:rsid w:val="00721490"/>
    <w:rsid w:val="0074611C"/>
    <w:rsid w:val="007A2ADF"/>
    <w:rsid w:val="007B28E6"/>
    <w:rsid w:val="007E3904"/>
    <w:rsid w:val="00843904"/>
    <w:rsid w:val="00894A29"/>
    <w:rsid w:val="008A5A0B"/>
    <w:rsid w:val="008D110D"/>
    <w:rsid w:val="008E4F97"/>
    <w:rsid w:val="00940BA3"/>
    <w:rsid w:val="00950D36"/>
    <w:rsid w:val="00956A27"/>
    <w:rsid w:val="00975D83"/>
    <w:rsid w:val="00982B04"/>
    <w:rsid w:val="009924F0"/>
    <w:rsid w:val="009A6D82"/>
    <w:rsid w:val="009D3F27"/>
    <w:rsid w:val="009E36A7"/>
    <w:rsid w:val="009E6BC9"/>
    <w:rsid w:val="00A350C4"/>
    <w:rsid w:val="00AC3458"/>
    <w:rsid w:val="00AD67D5"/>
    <w:rsid w:val="00AD727F"/>
    <w:rsid w:val="00B24F10"/>
    <w:rsid w:val="00B73C33"/>
    <w:rsid w:val="00B846FB"/>
    <w:rsid w:val="00B84BEF"/>
    <w:rsid w:val="00BA3C94"/>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642D"/>
    <w:rsid w:val="00F0760F"/>
    <w:rsid w:val="00F314FF"/>
    <w:rsid w:val="00F33D13"/>
    <w:rsid w:val="00F47D8B"/>
    <w:rsid w:val="00F627D0"/>
    <w:rsid w:val="00F73587"/>
    <w:rsid w:val="00F841B6"/>
    <w:rsid w:val="00F92EA1"/>
    <w:rsid w:val="00FA19BF"/>
    <w:rsid w:val="00FE5D56"/>
    <w:rsid w:val="01041DE1"/>
    <w:rsid w:val="01225F6B"/>
    <w:rsid w:val="01D431F7"/>
    <w:rsid w:val="01D84BA8"/>
    <w:rsid w:val="028D2FBF"/>
    <w:rsid w:val="02DA7E74"/>
    <w:rsid w:val="03022904"/>
    <w:rsid w:val="038A1F16"/>
    <w:rsid w:val="04A37BF0"/>
    <w:rsid w:val="070B051A"/>
    <w:rsid w:val="086F2C3A"/>
    <w:rsid w:val="089C30CF"/>
    <w:rsid w:val="08CA2A7A"/>
    <w:rsid w:val="091D1BF8"/>
    <w:rsid w:val="0A1469F1"/>
    <w:rsid w:val="0A173D8A"/>
    <w:rsid w:val="0A183DFF"/>
    <w:rsid w:val="0A1D441B"/>
    <w:rsid w:val="0AC90261"/>
    <w:rsid w:val="0B3B0E84"/>
    <w:rsid w:val="0B436F70"/>
    <w:rsid w:val="0B787C61"/>
    <w:rsid w:val="0CBB64AC"/>
    <w:rsid w:val="0CC05689"/>
    <w:rsid w:val="0CD5224C"/>
    <w:rsid w:val="0F95650E"/>
    <w:rsid w:val="10862A71"/>
    <w:rsid w:val="110171B2"/>
    <w:rsid w:val="11206E84"/>
    <w:rsid w:val="11811650"/>
    <w:rsid w:val="11CB5693"/>
    <w:rsid w:val="11D213EC"/>
    <w:rsid w:val="12A933AE"/>
    <w:rsid w:val="13392934"/>
    <w:rsid w:val="14E836E8"/>
    <w:rsid w:val="150054C7"/>
    <w:rsid w:val="15915B3D"/>
    <w:rsid w:val="15BE553B"/>
    <w:rsid w:val="16A3322F"/>
    <w:rsid w:val="17CD5A7B"/>
    <w:rsid w:val="187A66B9"/>
    <w:rsid w:val="1962712A"/>
    <w:rsid w:val="1B0F2B81"/>
    <w:rsid w:val="1BD76927"/>
    <w:rsid w:val="1E1B683D"/>
    <w:rsid w:val="1E2256DD"/>
    <w:rsid w:val="1EAB5371"/>
    <w:rsid w:val="1EB965F4"/>
    <w:rsid w:val="1FAE4963"/>
    <w:rsid w:val="1FE43F83"/>
    <w:rsid w:val="205F5B7C"/>
    <w:rsid w:val="20F63843"/>
    <w:rsid w:val="212D209C"/>
    <w:rsid w:val="222857CE"/>
    <w:rsid w:val="22704248"/>
    <w:rsid w:val="250D1D0C"/>
    <w:rsid w:val="26710ACB"/>
    <w:rsid w:val="26A436C5"/>
    <w:rsid w:val="272535CA"/>
    <w:rsid w:val="2903464E"/>
    <w:rsid w:val="2A5223CF"/>
    <w:rsid w:val="2A7676DB"/>
    <w:rsid w:val="2AA9463F"/>
    <w:rsid w:val="2AE45AE1"/>
    <w:rsid w:val="2B0333E9"/>
    <w:rsid w:val="2C0C239D"/>
    <w:rsid w:val="2C7B2710"/>
    <w:rsid w:val="2CEB5D3E"/>
    <w:rsid w:val="2D607001"/>
    <w:rsid w:val="2F61116A"/>
    <w:rsid w:val="30BA1D6D"/>
    <w:rsid w:val="30C20634"/>
    <w:rsid w:val="313161CC"/>
    <w:rsid w:val="31561A82"/>
    <w:rsid w:val="31AC0EA0"/>
    <w:rsid w:val="33083CEB"/>
    <w:rsid w:val="34512CDC"/>
    <w:rsid w:val="35090B37"/>
    <w:rsid w:val="35AF0666"/>
    <w:rsid w:val="364E112D"/>
    <w:rsid w:val="36E0052C"/>
    <w:rsid w:val="36F84B57"/>
    <w:rsid w:val="374C0896"/>
    <w:rsid w:val="38FC32F5"/>
    <w:rsid w:val="39030A9D"/>
    <w:rsid w:val="3A2334B6"/>
    <w:rsid w:val="3A82221B"/>
    <w:rsid w:val="3A8C07C9"/>
    <w:rsid w:val="3A9241BA"/>
    <w:rsid w:val="3A9B136B"/>
    <w:rsid w:val="3BCA0B96"/>
    <w:rsid w:val="3E8A2F52"/>
    <w:rsid w:val="3E906080"/>
    <w:rsid w:val="3ECD0998"/>
    <w:rsid w:val="3ED508CA"/>
    <w:rsid w:val="3ED734A6"/>
    <w:rsid w:val="3F2932B0"/>
    <w:rsid w:val="3FA42170"/>
    <w:rsid w:val="3FAF36DB"/>
    <w:rsid w:val="3FE26683"/>
    <w:rsid w:val="406A14B3"/>
    <w:rsid w:val="409B2E14"/>
    <w:rsid w:val="40AA2BDE"/>
    <w:rsid w:val="41103459"/>
    <w:rsid w:val="41730A3E"/>
    <w:rsid w:val="43146FF6"/>
    <w:rsid w:val="43B92C0F"/>
    <w:rsid w:val="449C7E1E"/>
    <w:rsid w:val="45797337"/>
    <w:rsid w:val="4599227F"/>
    <w:rsid w:val="45D06EE4"/>
    <w:rsid w:val="46ED4212"/>
    <w:rsid w:val="46FE4C6E"/>
    <w:rsid w:val="47584A9D"/>
    <w:rsid w:val="47881AEB"/>
    <w:rsid w:val="47C04462"/>
    <w:rsid w:val="47D544D4"/>
    <w:rsid w:val="48F867F9"/>
    <w:rsid w:val="4941533E"/>
    <w:rsid w:val="49957D19"/>
    <w:rsid w:val="49BE175E"/>
    <w:rsid w:val="4A8E6560"/>
    <w:rsid w:val="4C173EDE"/>
    <w:rsid w:val="4C740BA8"/>
    <w:rsid w:val="4D000563"/>
    <w:rsid w:val="4D5D5930"/>
    <w:rsid w:val="4DE6755C"/>
    <w:rsid w:val="4E6D6F61"/>
    <w:rsid w:val="4EC06D16"/>
    <w:rsid w:val="4EF62BB5"/>
    <w:rsid w:val="4F201BB4"/>
    <w:rsid w:val="4F673E64"/>
    <w:rsid w:val="4FC1058D"/>
    <w:rsid w:val="4FED3084"/>
    <w:rsid w:val="506A04F4"/>
    <w:rsid w:val="51000FA0"/>
    <w:rsid w:val="518C5D3B"/>
    <w:rsid w:val="51FA450E"/>
    <w:rsid w:val="52291916"/>
    <w:rsid w:val="528B1069"/>
    <w:rsid w:val="533F437E"/>
    <w:rsid w:val="53AD1A2D"/>
    <w:rsid w:val="53D170F4"/>
    <w:rsid w:val="53F31159"/>
    <w:rsid w:val="56581D59"/>
    <w:rsid w:val="567360E6"/>
    <w:rsid w:val="579A1A74"/>
    <w:rsid w:val="58B12E03"/>
    <w:rsid w:val="58B3131C"/>
    <w:rsid w:val="58DD7AFF"/>
    <w:rsid w:val="59C5081D"/>
    <w:rsid w:val="5A2F5AF5"/>
    <w:rsid w:val="5AFF7905"/>
    <w:rsid w:val="5B492C91"/>
    <w:rsid w:val="5B8C1E41"/>
    <w:rsid w:val="5D2D075A"/>
    <w:rsid w:val="5DC547AD"/>
    <w:rsid w:val="5E7D6603"/>
    <w:rsid w:val="5EBD3850"/>
    <w:rsid w:val="5F426362"/>
    <w:rsid w:val="5F600D4E"/>
    <w:rsid w:val="609F186D"/>
    <w:rsid w:val="61E947CD"/>
    <w:rsid w:val="629A11E5"/>
    <w:rsid w:val="62CB49A1"/>
    <w:rsid w:val="63616199"/>
    <w:rsid w:val="63F6500F"/>
    <w:rsid w:val="6468043E"/>
    <w:rsid w:val="646B2FA5"/>
    <w:rsid w:val="65170B20"/>
    <w:rsid w:val="65757715"/>
    <w:rsid w:val="65B254E4"/>
    <w:rsid w:val="660E4242"/>
    <w:rsid w:val="66372AED"/>
    <w:rsid w:val="677038E2"/>
    <w:rsid w:val="686325F3"/>
    <w:rsid w:val="68663796"/>
    <w:rsid w:val="69293200"/>
    <w:rsid w:val="694347AF"/>
    <w:rsid w:val="694F06EB"/>
    <w:rsid w:val="6A063BDC"/>
    <w:rsid w:val="6A625D93"/>
    <w:rsid w:val="6A841BD5"/>
    <w:rsid w:val="6B1B756C"/>
    <w:rsid w:val="6BE35659"/>
    <w:rsid w:val="6C0B1EC6"/>
    <w:rsid w:val="6F6F1C62"/>
    <w:rsid w:val="70FD12D6"/>
    <w:rsid w:val="711E22C5"/>
    <w:rsid w:val="71394751"/>
    <w:rsid w:val="71F54A46"/>
    <w:rsid w:val="732872C5"/>
    <w:rsid w:val="73AB55C3"/>
    <w:rsid w:val="74EB5441"/>
    <w:rsid w:val="771976F5"/>
    <w:rsid w:val="77447586"/>
    <w:rsid w:val="78D86FD6"/>
    <w:rsid w:val="79C61A14"/>
    <w:rsid w:val="7BD13B30"/>
    <w:rsid w:val="7C080BA0"/>
    <w:rsid w:val="7D602F36"/>
    <w:rsid w:val="7D8354E8"/>
    <w:rsid w:val="7E100C99"/>
    <w:rsid w:val="7E886BD8"/>
    <w:rsid w:val="7F7A668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Document Map"/>
    <w:basedOn w:val="1"/>
    <w:link w:val="24"/>
    <w:semiHidden/>
    <w:unhideWhenUsed/>
    <w:qFormat/>
    <w:uiPriority w:val="99"/>
    <w:rPr>
      <w:rFonts w:ascii="宋体" w:eastAsia="宋体"/>
      <w:sz w:val="18"/>
      <w:szCs w:val="18"/>
    </w:rPr>
  </w:style>
  <w:style w:type="paragraph" w:styleId="8">
    <w:name w:val="annotation text"/>
    <w:basedOn w:val="1"/>
    <w:qFormat/>
    <w:uiPriority w:val="99"/>
    <w:pPr>
      <w:jc w:val="left"/>
    </w:pPr>
  </w:style>
  <w:style w:type="paragraph" w:styleId="9">
    <w:name w:val="Balloon Text"/>
    <w:basedOn w:val="1"/>
    <w:link w:val="25"/>
    <w:semiHidden/>
    <w:unhideWhenUsed/>
    <w:qFormat/>
    <w:uiPriority w:val="99"/>
    <w:rPr>
      <w:sz w:val="18"/>
      <w:szCs w:val="18"/>
    </w:rPr>
  </w:style>
  <w:style w:type="paragraph" w:styleId="10">
    <w:name w:val="footer"/>
    <w:basedOn w:val="1"/>
    <w:link w:val="18"/>
    <w:unhideWhenUsed/>
    <w:qFormat/>
    <w:uiPriority w:val="99"/>
    <w:pPr>
      <w:tabs>
        <w:tab w:val="center" w:pos="4153"/>
        <w:tab w:val="right" w:pos="8306"/>
      </w:tabs>
      <w:snapToGrid w:val="0"/>
      <w:jc w:val="left"/>
    </w:pPr>
    <w:rPr>
      <w:sz w:val="18"/>
      <w:szCs w:val="18"/>
    </w:rPr>
  </w:style>
  <w:style w:type="paragraph" w:styleId="11">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568" w:hanging="284"/>
    </w:pPr>
  </w:style>
  <w:style w:type="table" w:styleId="14">
    <w:name w:val="Table Grid"/>
    <w:basedOn w:val="13"/>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qFormat/>
    <w:uiPriority w:val="99"/>
    <w:rPr>
      <w:color w:val="0000FF"/>
      <w:u w:val="single"/>
    </w:rPr>
  </w:style>
  <w:style w:type="character" w:customStyle="1" w:styleId="17">
    <w:name w:val="页眉 Char"/>
    <w:basedOn w:val="15"/>
    <w:link w:val="11"/>
    <w:qFormat/>
    <w:uiPriority w:val="99"/>
    <w:rPr>
      <w:sz w:val="18"/>
      <w:szCs w:val="18"/>
    </w:rPr>
  </w:style>
  <w:style w:type="character" w:customStyle="1" w:styleId="18">
    <w:name w:val="页脚 Char"/>
    <w:basedOn w:val="15"/>
    <w:link w:val="10"/>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12"/>
    <w:qFormat/>
    <w:uiPriority w:val="0"/>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文档结构图 Char"/>
    <w:basedOn w:val="15"/>
    <w:link w:val="7"/>
    <w:semiHidden/>
    <w:qFormat/>
    <w:uiPriority w:val="99"/>
    <w:rPr>
      <w:rFonts w:ascii="宋体" w:eastAsia="宋体"/>
      <w:kern w:val="2"/>
      <w:sz w:val="18"/>
      <w:szCs w:val="18"/>
    </w:rPr>
  </w:style>
  <w:style w:type="character" w:customStyle="1" w:styleId="25">
    <w:name w:val="批注框文本 Char"/>
    <w:basedOn w:val="15"/>
    <w:link w:val="9"/>
    <w:semiHidden/>
    <w:qFormat/>
    <w:uiPriority w:val="99"/>
    <w:rPr>
      <w:kern w:val="2"/>
      <w:sz w:val="18"/>
      <w:szCs w:val="18"/>
    </w:rPr>
  </w:style>
  <w:style w:type="paragraph" w:customStyle="1" w:styleId="26">
    <w:name w:val="Doc-text2"/>
    <w:basedOn w:val="1"/>
    <w:qFormat/>
    <w:uiPriority w:val="0"/>
    <w:pPr>
      <w:tabs>
        <w:tab w:val="left" w:pos="1622"/>
      </w:tabs>
      <w:autoSpaceDE/>
      <w:autoSpaceDN/>
      <w:adjustRightInd/>
      <w:ind w:left="1622" w:hanging="363"/>
      <w:jc w:val="left"/>
      <w:textAlignment w:val="auto"/>
    </w:pPr>
    <w:rPr>
      <w:rFonts w:ascii="Arial" w:hAnsi="Arial" w:eastAsia="MS Mincho"/>
      <w:sz w:val="20"/>
      <w:lang w:val="en-GB" w:eastAsia="en-GB"/>
    </w:rPr>
  </w:style>
  <w:style w:type="paragraph" w:customStyle="1" w:styleId="27">
    <w:name w:val="Doc-comment"/>
    <w:basedOn w:val="1"/>
    <w:next w:val="26"/>
    <w:qFormat/>
    <w:uiPriority w:val="0"/>
    <w:pPr>
      <w:tabs>
        <w:tab w:val="left" w:pos="1622"/>
      </w:tabs>
      <w:spacing w:before="0"/>
      <w:ind w:left="1622" w:hanging="363"/>
    </w:pPr>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690</Words>
  <Characters>3936</Characters>
  <Lines>32</Lines>
  <Paragraphs>9</Paragraphs>
  <TotalTime>1</TotalTime>
  <ScaleCrop>false</ScaleCrop>
  <LinksUpToDate>false</LinksUpToDate>
  <CharactersWithSpaces>4617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2022-09-30T07:00:00Z</dcterms:created>
  <dc:creator>CMCC_TJY</dc:creator>
  <cp:lastModifiedBy>CMCC</cp:lastModifiedBy>
  <dcterms:modified xsi:type="dcterms:W3CDTF">2023-09-29T04:18:16Z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5579B57E28AC4FB88678AC543915D0F3</vt:lpwstr>
  </property>
</Properties>
</file>